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74FA6" w14:textId="77777777" w:rsidR="00755FC5" w:rsidRPr="00743339" w:rsidRDefault="00743339">
      <w:pPr>
        <w:rPr>
          <w:rFonts w:ascii="Gill Sans MT" w:hAnsi="Gill Sans MT"/>
          <w:b/>
          <w:color w:val="A6A6A6" w:themeColor="background1" w:themeShade="A6"/>
          <w:sz w:val="28"/>
        </w:rPr>
      </w:pPr>
      <w:r w:rsidRPr="00743339">
        <w:rPr>
          <w:rFonts w:ascii="Gill Sans MT" w:hAnsi="Gill Sans MT"/>
          <w:b/>
          <w:color w:val="A6A6A6" w:themeColor="background1" w:themeShade="A6"/>
          <w:sz w:val="28"/>
        </w:rPr>
        <w:t>Unit Planner Visual Arts</w:t>
      </w:r>
    </w:p>
    <w:p w14:paraId="59777E4D" w14:textId="77777777" w:rsidR="00755FC5" w:rsidRDefault="00755FC5">
      <w:pPr>
        <w:rPr>
          <w:rFonts w:ascii="Gill Sans MT" w:hAnsi="Gill Sans MT"/>
          <w:color w:val="A6A6A6" w:themeColor="background1" w:themeShade="A6"/>
        </w:rPr>
      </w:pPr>
    </w:p>
    <w:p w14:paraId="5835387F" w14:textId="77777777" w:rsidR="00743339" w:rsidRDefault="00743339">
      <w:pPr>
        <w:rPr>
          <w:rFonts w:ascii="Gill Sans MT" w:hAnsi="Gill Sans MT"/>
          <w:color w:val="A6A6A6" w:themeColor="background1" w:themeShade="A6"/>
        </w:rPr>
      </w:pPr>
      <w:r>
        <w:rPr>
          <w:rFonts w:ascii="Gill Sans MT" w:hAnsi="Gill Sans MT"/>
          <w:color w:val="A6A6A6" w:themeColor="background1" w:themeShade="A6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743339" w14:paraId="3AF3A43B" w14:textId="77777777" w:rsidTr="00743339">
        <w:tc>
          <w:tcPr>
            <w:tcW w:w="7088" w:type="dxa"/>
          </w:tcPr>
          <w:p w14:paraId="0CC548E4" w14:textId="12AA3911" w:rsidR="00743339" w:rsidRDefault="00743339" w:rsidP="00743339">
            <w:pPr>
              <w:ind w:left="-81"/>
              <w:rPr>
                <w:rFonts w:ascii="Gill Sans MT" w:hAnsi="Gill Sans MT"/>
                <w:b/>
              </w:rPr>
            </w:pPr>
            <w:r w:rsidRPr="002C0EE1">
              <w:rPr>
                <w:rFonts w:ascii="Gill Sans MT" w:hAnsi="Gill Sans MT"/>
                <w:b/>
              </w:rPr>
              <w:t xml:space="preserve">Unit </w:t>
            </w:r>
            <w:proofErr w:type="gramStart"/>
            <w:r w:rsidRPr="002C0EE1">
              <w:rPr>
                <w:rFonts w:ascii="Gill Sans MT" w:hAnsi="Gill Sans MT"/>
                <w:b/>
              </w:rPr>
              <w:t>title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3F5FF8">
              <w:rPr>
                <w:rFonts w:ascii="Gill Sans MT" w:hAnsi="Gill Sans MT"/>
                <w:b/>
              </w:rPr>
              <w:t xml:space="preserve"> </w:t>
            </w:r>
            <w:proofErr w:type="gramEnd"/>
            <w:r w:rsidR="00C81D42">
              <w:rPr>
                <w:rFonts w:ascii="Gill Sans MT" w:hAnsi="Gill Sans MT"/>
                <w:b/>
                <w:highlight w:val="magenta"/>
              </w:rPr>
              <w:fldChar w:fldCharType="begin"/>
            </w:r>
            <w:r w:rsidR="00C81D42">
              <w:rPr>
                <w:rFonts w:ascii="Gill Sans MT" w:hAnsi="Gill Sans MT"/>
                <w:b/>
                <w:highlight w:val="magenta"/>
              </w:rPr>
              <w:instrText xml:space="preserve"> HYPERLINK "mailto:https://www.thinkib.net/visualarts/page/10687/a-sense-of-place" </w:instrText>
            </w:r>
            <w:r w:rsidR="00C81D42">
              <w:rPr>
                <w:rFonts w:ascii="Gill Sans MT" w:hAnsi="Gill Sans MT"/>
                <w:b/>
                <w:highlight w:val="magenta"/>
              </w:rPr>
            </w:r>
            <w:r w:rsidR="00C81D42">
              <w:rPr>
                <w:rFonts w:ascii="Gill Sans MT" w:hAnsi="Gill Sans MT"/>
                <w:b/>
                <w:highlight w:val="magenta"/>
              </w:rPr>
              <w:fldChar w:fldCharType="separate"/>
            </w:r>
            <w:r w:rsidR="00C81D42" w:rsidRPr="00C81D42">
              <w:rPr>
                <w:rStyle w:val="Hyperlink"/>
                <w:rFonts w:ascii="Gill Sans MT" w:hAnsi="Gill Sans MT"/>
                <w:b/>
                <w:highlight w:val="magenta"/>
              </w:rPr>
              <w:t xml:space="preserve">A </w:t>
            </w:r>
            <w:r w:rsidR="003F5FF8" w:rsidRPr="00C81D42">
              <w:rPr>
                <w:rStyle w:val="Hyperlink"/>
                <w:rFonts w:ascii="Gill Sans MT" w:hAnsi="Gill Sans MT"/>
                <w:b/>
                <w:highlight w:val="magenta"/>
              </w:rPr>
              <w:t>Sense of Place</w:t>
            </w:r>
            <w:r w:rsidR="00C81D42">
              <w:rPr>
                <w:rFonts w:ascii="Gill Sans MT" w:hAnsi="Gill Sans MT"/>
                <w:b/>
                <w:highlight w:val="magenta"/>
              </w:rPr>
              <w:fldChar w:fldCharType="end"/>
            </w:r>
          </w:p>
          <w:p w14:paraId="078A03C3" w14:textId="31029EB9" w:rsidR="00743339" w:rsidRDefault="00743339" w:rsidP="00743339">
            <w:pPr>
              <w:ind w:left="-8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Year </w:t>
            </w:r>
            <w:r w:rsidR="003F5FF8">
              <w:rPr>
                <w:rFonts w:ascii="Gill Sans MT" w:hAnsi="Gill Sans MT"/>
                <w:b/>
              </w:rPr>
              <w:t>1</w:t>
            </w:r>
          </w:p>
          <w:p w14:paraId="54BEF467" w14:textId="3F501E63" w:rsidR="00743339" w:rsidRPr="00743339" w:rsidRDefault="00743339" w:rsidP="00743339">
            <w:pPr>
              <w:ind w:left="-8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  <w:r w:rsidR="003F5FF8">
              <w:rPr>
                <w:rFonts w:ascii="Gill Sans MT" w:hAnsi="Gill Sans MT"/>
                <w:b/>
              </w:rPr>
              <w:t xml:space="preserve"> Unit 1</w:t>
            </w:r>
            <w:r w:rsidR="00BD290E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7088" w:type="dxa"/>
          </w:tcPr>
          <w:p w14:paraId="3CB305D6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  <w:tr w:rsidR="00743339" w14:paraId="554F59E9" w14:textId="77777777" w:rsidTr="00743339">
        <w:tc>
          <w:tcPr>
            <w:tcW w:w="7088" w:type="dxa"/>
          </w:tcPr>
          <w:p w14:paraId="2FF03BD5" w14:textId="77777777" w:rsidR="00743339" w:rsidRPr="000E3C2A" w:rsidRDefault="00743339" w:rsidP="0074333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Skills and Techniques and Concepts</w:t>
            </w:r>
          </w:p>
          <w:p w14:paraId="2E343066" w14:textId="77777777" w:rsidR="00743339" w:rsidRDefault="00743339" w:rsidP="00743339">
            <w:pPr>
              <w:rPr>
                <w:rFonts w:ascii="Gill Sans MT" w:hAnsi="Gill Sans MT"/>
              </w:rPr>
            </w:pPr>
          </w:p>
          <w:p w14:paraId="2331809D" w14:textId="77777777" w:rsidR="00743339" w:rsidRDefault="00743339" w:rsidP="007433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Techniques introduced</w:t>
            </w:r>
          </w:p>
          <w:p w14:paraId="3D1FCC6B" w14:textId="77777777" w:rsidR="00743339" w:rsidRDefault="00743339" w:rsidP="007433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Skills developed</w:t>
            </w:r>
          </w:p>
          <w:p w14:paraId="07F2065B" w14:textId="77777777" w:rsidR="00743339" w:rsidRDefault="00743339" w:rsidP="007433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Concepts learned </w:t>
            </w:r>
          </w:p>
          <w:p w14:paraId="6AEA9098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2A847C5B" w14:textId="77777777" w:rsidR="00CA6875" w:rsidRDefault="00CA6875">
            <w:pPr>
              <w:rPr>
                <w:rFonts w:ascii="Gill Sans MT" w:hAnsi="Gill Sans MT"/>
              </w:rPr>
            </w:pPr>
          </w:p>
          <w:p w14:paraId="0E367D73" w14:textId="446DE3CB" w:rsidR="00CA6875" w:rsidRDefault="00CA68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Investigate surroundings</w:t>
            </w:r>
            <w:r w:rsidR="0043673E"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excercising</w:t>
            </w:r>
            <w:proofErr w:type="spellEnd"/>
            <w:r>
              <w:rPr>
                <w:rFonts w:ascii="Gill Sans MT" w:hAnsi="Gill Sans MT"/>
              </w:rPr>
              <w:t xml:space="preserve"> visual curiosity </w:t>
            </w:r>
          </w:p>
          <w:p w14:paraId="0B1DE803" w14:textId="7FAA817F" w:rsidR="003E2987" w:rsidRDefault="003F5FF8">
            <w:pPr>
              <w:rPr>
                <w:rFonts w:ascii="Gill Sans MT" w:hAnsi="Gill Sans MT"/>
              </w:rPr>
            </w:pPr>
            <w:r w:rsidRPr="003F5FF8">
              <w:rPr>
                <w:rFonts w:ascii="Gill Sans MT" w:hAnsi="Gill Sans MT"/>
              </w:rPr>
              <w:t xml:space="preserve">Explore </w:t>
            </w:r>
            <w:r>
              <w:rPr>
                <w:rFonts w:ascii="Gill Sans MT" w:hAnsi="Gill Sans MT"/>
              </w:rPr>
              <w:t xml:space="preserve">a range of </w:t>
            </w:r>
            <w:r w:rsidRPr="003F5FF8">
              <w:rPr>
                <w:rFonts w:ascii="Gill Sans MT" w:hAnsi="Gill Sans MT"/>
              </w:rPr>
              <w:t>techniques</w:t>
            </w:r>
            <w:r w:rsidR="00CA6875">
              <w:rPr>
                <w:rFonts w:ascii="Gill Sans MT" w:hAnsi="Gill Sans MT"/>
              </w:rPr>
              <w:t xml:space="preserve"> fro</w:t>
            </w:r>
            <w:r>
              <w:rPr>
                <w:rFonts w:ascii="Gill Sans MT" w:hAnsi="Gill Sans MT"/>
              </w:rPr>
              <w:t>m the art making forms table</w:t>
            </w:r>
            <w:r w:rsidR="00BD290E">
              <w:rPr>
                <w:rFonts w:ascii="Gill Sans MT" w:hAnsi="Gill Sans MT"/>
              </w:rPr>
              <w:t>:</w:t>
            </w:r>
          </w:p>
          <w:p w14:paraId="4C613F0B" w14:textId="77777777" w:rsidR="003E2987" w:rsidRDefault="003E2987" w:rsidP="003E298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Photography</w:t>
            </w:r>
          </w:p>
          <w:p w14:paraId="49BC55DF" w14:textId="77777777" w:rsidR="003E2987" w:rsidRDefault="003E2987" w:rsidP="003E298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Drawing</w:t>
            </w:r>
          </w:p>
          <w:p w14:paraId="593733C9" w14:textId="34A67464" w:rsidR="003E2987" w:rsidRDefault="003E2987" w:rsidP="003E298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Collage/assemblage</w:t>
            </w:r>
          </w:p>
          <w:p w14:paraId="35CA95D0" w14:textId="77777777" w:rsidR="003E2987" w:rsidRDefault="003E2987" w:rsidP="003E298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Mapping</w:t>
            </w:r>
          </w:p>
          <w:p w14:paraId="37E226B4" w14:textId="77777777" w:rsidR="003E2987" w:rsidRDefault="003E2987" w:rsidP="003E298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Mixed Media</w:t>
            </w:r>
          </w:p>
          <w:p w14:paraId="08CF8D2B" w14:textId="155A8306" w:rsidR="003F5FF8" w:rsidRDefault="003F5FF8">
            <w:pPr>
              <w:rPr>
                <w:rFonts w:ascii="Gill Sans MT" w:hAnsi="Gill Sans MT"/>
              </w:rPr>
            </w:pPr>
            <w:r w:rsidRPr="003F5FF8">
              <w:rPr>
                <w:rFonts w:ascii="Gill Sans MT" w:hAnsi="Gill Sans MT"/>
              </w:rPr>
              <w:t xml:space="preserve"> </w:t>
            </w:r>
          </w:p>
          <w:p w14:paraId="53BCE475" w14:textId="7A419EE9" w:rsidR="00743339" w:rsidRPr="003F5FF8" w:rsidRDefault="00CA68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Learn new technical skills and </w:t>
            </w:r>
            <w:r w:rsidR="00C81D42">
              <w:rPr>
                <w:rFonts w:ascii="Gill Sans MT" w:hAnsi="Gill Sans MT"/>
              </w:rPr>
              <w:t>understand</w:t>
            </w:r>
            <w:r>
              <w:rPr>
                <w:rFonts w:ascii="Gill Sans MT" w:hAnsi="Gill Sans MT"/>
              </w:rPr>
              <w:t xml:space="preserve"> of use</w:t>
            </w:r>
            <w:r w:rsidR="00C81D42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of media </w:t>
            </w:r>
          </w:p>
          <w:p w14:paraId="5ED3687E" w14:textId="77777777" w:rsidR="00CA6875" w:rsidRDefault="003F5FF8">
            <w:pPr>
              <w:rPr>
                <w:rFonts w:ascii="Gill Sans MT" w:hAnsi="Gill Sans MT"/>
                <w:color w:val="A6A6A6" w:themeColor="background1" w:themeShade="A6"/>
              </w:rPr>
            </w:pPr>
            <w:r w:rsidRPr="003F5FF8">
              <w:rPr>
                <w:rFonts w:ascii="Gill Sans MT" w:hAnsi="Gill Sans MT"/>
              </w:rPr>
              <w:t>Develop independent and original thinking</w:t>
            </w:r>
            <w:r>
              <w:rPr>
                <w:rFonts w:ascii="Gill Sans MT" w:hAnsi="Gill Sans MT"/>
                <w:color w:val="A6A6A6" w:themeColor="background1" w:themeShade="A6"/>
              </w:rPr>
              <w:t xml:space="preserve"> </w:t>
            </w:r>
          </w:p>
          <w:p w14:paraId="4CDB5C91" w14:textId="0AF08D2A" w:rsidR="00CA6875" w:rsidRPr="00CA6875" w:rsidRDefault="00CA68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Encourage continuity and coherence among art</w:t>
            </w:r>
            <w:r w:rsidRPr="00CA6875">
              <w:rPr>
                <w:rFonts w:ascii="Gill Sans MT" w:hAnsi="Gill Sans MT"/>
              </w:rPr>
              <w:t>work</w:t>
            </w:r>
            <w:r>
              <w:rPr>
                <w:rFonts w:ascii="Gill Sans MT" w:hAnsi="Gill Sans MT"/>
              </w:rPr>
              <w:t>s</w:t>
            </w:r>
            <w:r w:rsidRPr="00CA6875">
              <w:rPr>
                <w:rFonts w:ascii="Gill Sans MT" w:hAnsi="Gill Sans MT"/>
              </w:rPr>
              <w:t xml:space="preserve"> </w:t>
            </w:r>
          </w:p>
          <w:p w14:paraId="190E90BD" w14:textId="023D5BEB" w:rsidR="003F5FF8" w:rsidRDefault="00CA6875">
            <w:pPr>
              <w:rPr>
                <w:rFonts w:ascii="Gill Sans MT" w:hAnsi="Gill Sans MT"/>
              </w:rPr>
            </w:pPr>
            <w:r w:rsidRPr="00CA6875">
              <w:rPr>
                <w:rFonts w:ascii="Gill Sans MT" w:hAnsi="Gill Sans MT"/>
              </w:rPr>
              <w:t>Make connections with other artists</w:t>
            </w:r>
            <w:r>
              <w:rPr>
                <w:rFonts w:ascii="Gill Sans MT" w:hAnsi="Gill Sans MT"/>
              </w:rPr>
              <w:t>/artworks</w:t>
            </w:r>
          </w:p>
          <w:p w14:paraId="79F38E92" w14:textId="1EB6B64E" w:rsidR="003E2987" w:rsidRPr="00CA6875" w:rsidRDefault="003E29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Engage in reflection, reviewing and refining</w:t>
            </w:r>
          </w:p>
          <w:p w14:paraId="43BA189F" w14:textId="46CEDBB5" w:rsidR="00CA6875" w:rsidRDefault="00CA6875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  <w:tr w:rsidR="00743339" w14:paraId="30D5573F" w14:textId="77777777" w:rsidTr="00743339">
        <w:tc>
          <w:tcPr>
            <w:tcW w:w="7088" w:type="dxa"/>
          </w:tcPr>
          <w:p w14:paraId="60392ACA" w14:textId="5B776BA8" w:rsidR="00743339" w:rsidRPr="002C0EE1" w:rsidRDefault="00743339" w:rsidP="00743339">
            <w:pPr>
              <w:rPr>
                <w:rFonts w:ascii="Gill Sans MT" w:hAnsi="Gill Sans MT" w:cs="Futura"/>
                <w:b/>
              </w:rPr>
            </w:pPr>
            <w:r w:rsidRPr="002C0EE1">
              <w:rPr>
                <w:rFonts w:ascii="Gill Sans MT" w:hAnsi="Gill Sans MT" w:cs="Futura"/>
                <w:b/>
              </w:rPr>
              <w:t>Big Ideas</w:t>
            </w:r>
          </w:p>
          <w:p w14:paraId="0C2B7DD9" w14:textId="77777777" w:rsidR="00743339" w:rsidRPr="002C0EE1" w:rsidRDefault="00743339" w:rsidP="00743339">
            <w:p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  <w:i/>
                <w:lang w:val="en-GB"/>
              </w:rPr>
              <w:t xml:space="preserve">List here one to three big, overarching, long-term goals for this unit. </w:t>
            </w:r>
            <w:r>
              <w:rPr>
                <w:rFonts w:ascii="Gill Sans MT" w:hAnsi="Gill Sans MT"/>
                <w:i/>
                <w:lang w:val="en-GB"/>
              </w:rPr>
              <w:t>“</w:t>
            </w:r>
            <w:r w:rsidRPr="00666F9E">
              <w:rPr>
                <w:rFonts w:ascii="Gill Sans MT" w:hAnsi="Gill Sans MT"/>
                <w:i/>
                <w:lang w:val="en-GB"/>
              </w:rPr>
              <w:t xml:space="preserve">Transfer </w:t>
            </w:r>
            <w:proofErr w:type="spellStart"/>
            <w:r w:rsidRPr="00666F9E">
              <w:rPr>
                <w:rFonts w:ascii="Gill Sans MT" w:hAnsi="Gill Sans MT"/>
                <w:i/>
                <w:lang w:val="en-GB"/>
              </w:rPr>
              <w:t>goal</w:t>
            </w:r>
            <w:r>
              <w:rPr>
                <w:rFonts w:ascii="Gill Sans MT" w:hAnsi="Gill Sans MT"/>
                <w:i/>
                <w:lang w:val="en-GB"/>
              </w:rPr>
              <w:t>”</w:t>
            </w:r>
            <w:r w:rsidRPr="00666F9E">
              <w:rPr>
                <w:rFonts w:ascii="Gill Sans MT" w:hAnsi="Gill Sans MT"/>
                <w:i/>
                <w:lang w:val="en-GB"/>
              </w:rPr>
              <w:t>s</w:t>
            </w:r>
            <w:proofErr w:type="spellEnd"/>
            <w:r w:rsidRPr="00666F9E">
              <w:rPr>
                <w:rFonts w:ascii="Gill Sans MT" w:hAnsi="Gill Sans MT"/>
                <w:i/>
                <w:lang w:val="en-GB"/>
              </w:rPr>
              <w:t xml:space="preserve"> are the major goals that ask students to “transfer” or apply, their knowledge, skills, and concepts at the end of the unit under new/different circumstances, and on their own without scaffolding from the teacher.  </w:t>
            </w:r>
          </w:p>
          <w:p w14:paraId="7B87A7F9" w14:textId="77777777" w:rsidR="00743339" w:rsidRDefault="00743339" w:rsidP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14753579" w14:textId="72AFCFA7" w:rsidR="003E2987" w:rsidRDefault="003E2987">
            <w:pPr>
              <w:rPr>
                <w:rFonts w:ascii="Gill Sans MT" w:hAnsi="Gill Sans MT"/>
              </w:rPr>
            </w:pPr>
          </w:p>
          <w:p w14:paraId="7E08C02E" w14:textId="7A47D0B0" w:rsidR="003E2987" w:rsidRDefault="003E29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Develop meaningful </w:t>
            </w:r>
            <w:r w:rsidR="008E4FFF">
              <w:rPr>
                <w:rFonts w:ascii="Gill Sans MT" w:hAnsi="Gill Sans MT"/>
              </w:rPr>
              <w:t>art</w:t>
            </w:r>
            <w:r>
              <w:rPr>
                <w:rFonts w:ascii="Gill Sans MT" w:hAnsi="Gill Sans MT"/>
              </w:rPr>
              <w:t xml:space="preserve">work out of experience, observation and reflection </w:t>
            </w:r>
          </w:p>
          <w:p w14:paraId="1161A56E" w14:textId="57A0EAC5" w:rsidR="003E2987" w:rsidRDefault="003E2987" w:rsidP="003E29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  <w:r w:rsidR="00BD290E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Discover h</w:t>
            </w:r>
            <w:r w:rsidRPr="009B08B2">
              <w:rPr>
                <w:rFonts w:ascii="Gill Sans MT" w:hAnsi="Gill Sans MT"/>
              </w:rPr>
              <w:t>ow research generates ideas</w:t>
            </w:r>
            <w:r>
              <w:rPr>
                <w:rFonts w:ascii="Gill Sans MT" w:hAnsi="Gill Sans MT"/>
              </w:rPr>
              <w:t xml:space="preserve"> and helps forge conceptual connections between works</w:t>
            </w:r>
          </w:p>
          <w:p w14:paraId="338EB870" w14:textId="535B6946" w:rsidR="009B08B2" w:rsidRDefault="00C81D42" w:rsidP="009B08B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  <w:r w:rsidR="00BD290E">
              <w:rPr>
                <w:rFonts w:ascii="Gill Sans MT" w:hAnsi="Gill Sans MT"/>
              </w:rPr>
              <w:t xml:space="preserve"> </w:t>
            </w:r>
            <w:r w:rsidR="003E2987">
              <w:rPr>
                <w:rFonts w:ascii="Gill Sans MT" w:hAnsi="Gill Sans MT"/>
              </w:rPr>
              <w:t xml:space="preserve">Self Knowledge: </w:t>
            </w:r>
            <w:r w:rsidR="00BD290E">
              <w:rPr>
                <w:rFonts w:ascii="Gill Sans MT" w:hAnsi="Gill Sans MT"/>
              </w:rPr>
              <w:t xml:space="preserve">be able to </w:t>
            </w:r>
            <w:r w:rsidR="009B08B2">
              <w:rPr>
                <w:rFonts w:ascii="Gill Sans MT" w:hAnsi="Gill Sans MT"/>
              </w:rPr>
              <w:t xml:space="preserve">Identify </w:t>
            </w:r>
            <w:r w:rsidR="003E2987">
              <w:rPr>
                <w:rFonts w:ascii="Gill Sans MT" w:hAnsi="Gill Sans MT"/>
              </w:rPr>
              <w:t xml:space="preserve">appropriate </w:t>
            </w:r>
            <w:r w:rsidR="009B08B2">
              <w:rPr>
                <w:rFonts w:ascii="Gill Sans MT" w:hAnsi="Gill Sans MT"/>
              </w:rPr>
              <w:t>tech</w:t>
            </w:r>
            <w:r w:rsidR="003E2987">
              <w:rPr>
                <w:rFonts w:ascii="Gill Sans MT" w:hAnsi="Gill Sans MT"/>
              </w:rPr>
              <w:t>nique(s) for further individual exploration</w:t>
            </w:r>
            <w:r w:rsidR="009B08B2">
              <w:rPr>
                <w:rFonts w:ascii="Gill Sans MT" w:hAnsi="Gill Sans MT"/>
              </w:rPr>
              <w:t xml:space="preserve"> </w:t>
            </w:r>
          </w:p>
          <w:p w14:paraId="1E43F9DD" w14:textId="5BB39C04" w:rsidR="008E4FFF" w:rsidRPr="009B08B2" w:rsidRDefault="008E4FFF" w:rsidP="009B08B2">
            <w:pPr>
              <w:rPr>
                <w:rFonts w:ascii="Gill Sans MT" w:hAnsi="Gill Sans MT"/>
              </w:rPr>
            </w:pPr>
          </w:p>
        </w:tc>
      </w:tr>
      <w:tr w:rsidR="00743339" w14:paraId="1F48830B" w14:textId="77777777" w:rsidTr="00743339">
        <w:tc>
          <w:tcPr>
            <w:tcW w:w="7088" w:type="dxa"/>
          </w:tcPr>
          <w:p w14:paraId="0380DC10" w14:textId="14353F14" w:rsidR="00743339" w:rsidRDefault="00743339" w:rsidP="00743339">
            <w:pPr>
              <w:rPr>
                <w:rFonts w:ascii="Gill Sans MT" w:hAnsi="Gill Sans MT"/>
                <w:b/>
              </w:rPr>
            </w:pPr>
            <w:r w:rsidRPr="002C0EE1">
              <w:rPr>
                <w:rFonts w:ascii="Gill Sans MT" w:hAnsi="Gill Sans MT"/>
                <w:b/>
              </w:rPr>
              <w:lastRenderedPageBreak/>
              <w:t>ATL</w:t>
            </w:r>
            <w:r>
              <w:rPr>
                <w:rFonts w:ascii="Gill Sans MT" w:hAnsi="Gill Sans MT"/>
                <w:b/>
              </w:rPr>
              <w:t xml:space="preserve"> skills (whichever are applicable)</w:t>
            </w:r>
          </w:p>
          <w:p w14:paraId="018712EE" w14:textId="77777777" w:rsidR="00743339" w:rsidRDefault="00743339" w:rsidP="00743339">
            <w:pPr>
              <w:rPr>
                <w:rFonts w:ascii="Gill Sans MT" w:hAnsi="Gill Sans MT"/>
                <w:b/>
              </w:rPr>
            </w:pPr>
          </w:p>
          <w:p w14:paraId="35EDE205" w14:textId="77777777" w:rsidR="00743339" w:rsidRPr="000E3C2A" w:rsidRDefault="00743339" w:rsidP="0074333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0E3C2A">
              <w:rPr>
                <w:rFonts w:ascii="Gill Sans MT" w:hAnsi="Gill Sans MT"/>
              </w:rPr>
              <w:t>Thinking</w:t>
            </w:r>
          </w:p>
          <w:p w14:paraId="02049E15" w14:textId="77777777" w:rsidR="00743339" w:rsidRPr="000E3C2A" w:rsidRDefault="00743339" w:rsidP="0074333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0E3C2A">
              <w:rPr>
                <w:rFonts w:ascii="Gill Sans MT" w:hAnsi="Gill Sans MT"/>
              </w:rPr>
              <w:t>Social</w:t>
            </w:r>
          </w:p>
          <w:p w14:paraId="0631366B" w14:textId="77777777" w:rsidR="00743339" w:rsidRPr="000E3C2A" w:rsidRDefault="00743339" w:rsidP="0074333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0E3C2A">
              <w:rPr>
                <w:rFonts w:ascii="Gill Sans MT" w:hAnsi="Gill Sans MT"/>
              </w:rPr>
              <w:t>Communication</w:t>
            </w:r>
          </w:p>
          <w:p w14:paraId="29014F7C" w14:textId="77777777" w:rsidR="00743339" w:rsidRPr="000E3C2A" w:rsidRDefault="00743339" w:rsidP="0074333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0E3C2A">
              <w:rPr>
                <w:rFonts w:ascii="Gill Sans MT" w:hAnsi="Gill Sans MT"/>
              </w:rPr>
              <w:t>Self-management</w:t>
            </w:r>
          </w:p>
          <w:p w14:paraId="325323C0" w14:textId="77777777" w:rsidR="00743339" w:rsidRPr="000E3C2A" w:rsidRDefault="00743339" w:rsidP="0074333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0E3C2A">
              <w:rPr>
                <w:rFonts w:ascii="Gill Sans MT" w:hAnsi="Gill Sans MT"/>
              </w:rPr>
              <w:t>Research</w:t>
            </w:r>
          </w:p>
          <w:p w14:paraId="3A8F53EE" w14:textId="77777777" w:rsidR="00743339" w:rsidRDefault="00743339" w:rsidP="00743339">
            <w:pPr>
              <w:rPr>
                <w:rFonts w:ascii="Gill Sans MT" w:hAnsi="Gill Sans MT"/>
                <w:b/>
              </w:rPr>
            </w:pPr>
          </w:p>
          <w:p w14:paraId="2793A51F" w14:textId="77777777" w:rsidR="00743339" w:rsidRPr="002C0EE1" w:rsidRDefault="00743339" w:rsidP="00743339">
            <w:pPr>
              <w:rPr>
                <w:rFonts w:ascii="Gill Sans MT" w:hAnsi="Gill Sans MT"/>
                <w:b/>
              </w:rPr>
            </w:pPr>
          </w:p>
          <w:p w14:paraId="66325559" w14:textId="77777777" w:rsidR="00743339" w:rsidRDefault="00743339" w:rsidP="00743339">
            <w:pPr>
              <w:rPr>
                <w:rFonts w:ascii="Gill Sans MT" w:hAnsi="Gill Sans MT"/>
              </w:rPr>
            </w:pPr>
          </w:p>
          <w:p w14:paraId="3401354A" w14:textId="77777777" w:rsidR="00743339" w:rsidRPr="000E3C2A" w:rsidRDefault="00743339" w:rsidP="00743339">
            <w:pPr>
              <w:rPr>
                <w:rFonts w:ascii="Gill Sans MT" w:hAnsi="Gill Sans MT"/>
                <w:b/>
              </w:rPr>
            </w:pPr>
            <w:r w:rsidRPr="000E3C2A">
              <w:rPr>
                <w:rFonts w:ascii="Gill Sans MT" w:hAnsi="Gill Sans MT"/>
                <w:b/>
              </w:rPr>
              <w:t>Learning Process</w:t>
            </w:r>
            <w:r>
              <w:rPr>
                <w:rFonts w:ascii="Gill Sans MT" w:hAnsi="Gill Sans MT"/>
                <w:b/>
              </w:rPr>
              <w:t>es used</w:t>
            </w:r>
          </w:p>
          <w:p w14:paraId="2D661853" w14:textId="77777777" w:rsidR="00743339" w:rsidRPr="009B08B2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highlight w:val="magenta"/>
              </w:rPr>
            </w:pPr>
            <w:r w:rsidRPr="009B08B2">
              <w:rPr>
                <w:rFonts w:ascii="Gill Sans MT" w:hAnsi="Gill Sans MT"/>
                <w:highlight w:val="magenta"/>
              </w:rPr>
              <w:t>Demonstration/technique</w:t>
            </w:r>
          </w:p>
          <w:p w14:paraId="40BFE3B8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 xml:space="preserve">Museum or gallery </w:t>
            </w:r>
            <w:r>
              <w:rPr>
                <w:rFonts w:ascii="Gill Sans MT" w:hAnsi="Gill Sans MT"/>
              </w:rPr>
              <w:t>visit</w:t>
            </w:r>
          </w:p>
          <w:p w14:paraId="1C8FF332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proofErr w:type="gramStart"/>
            <w:r w:rsidRPr="00666F9E">
              <w:rPr>
                <w:rFonts w:ascii="Gill Sans MT" w:hAnsi="Gill Sans MT"/>
              </w:rPr>
              <w:t>artist</w:t>
            </w:r>
            <w:proofErr w:type="gramEnd"/>
            <w:r w:rsidRPr="00666F9E">
              <w:rPr>
                <w:rFonts w:ascii="Gill Sans MT" w:hAnsi="Gill Sans MT"/>
              </w:rPr>
              <w:t xml:space="preserve"> workshop or lecture</w:t>
            </w:r>
          </w:p>
          <w:p w14:paraId="59718779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 xml:space="preserve"> </w:t>
            </w:r>
            <w:r w:rsidRPr="009B08B2">
              <w:rPr>
                <w:rFonts w:ascii="Gill Sans MT" w:hAnsi="Gill Sans MT"/>
                <w:highlight w:val="magenta"/>
              </w:rPr>
              <w:t>Materials led investigation</w:t>
            </w:r>
          </w:p>
          <w:p w14:paraId="736723A4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>Curatorial activity</w:t>
            </w:r>
          </w:p>
          <w:p w14:paraId="56CF3FFD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>Socratic seminar</w:t>
            </w:r>
          </w:p>
          <w:p w14:paraId="67D6BF06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>Small group/pair work</w:t>
            </w:r>
          </w:p>
          <w:p w14:paraId="346B3B85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>PowerPoint/ slideshow/ video</w:t>
            </w:r>
          </w:p>
          <w:p w14:paraId="10D73E34" w14:textId="77777777" w:rsidR="00743339" w:rsidRPr="00666F9E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666F9E">
              <w:rPr>
                <w:rFonts w:ascii="Gill Sans MT" w:hAnsi="Gill Sans MT"/>
              </w:rPr>
              <w:t>Individual presentations</w:t>
            </w:r>
          </w:p>
          <w:p w14:paraId="2C79FF0C" w14:textId="77777777" w:rsidR="00743339" w:rsidRPr="009B08B2" w:rsidRDefault="00743339" w:rsidP="0074333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highlight w:val="magenta"/>
              </w:rPr>
            </w:pPr>
            <w:r w:rsidRPr="009B08B2">
              <w:rPr>
                <w:rFonts w:ascii="Gill Sans MT" w:hAnsi="Gill Sans MT"/>
                <w:highlight w:val="magenta"/>
              </w:rPr>
              <w:t>Interdisciplinary learning</w:t>
            </w:r>
          </w:p>
          <w:p w14:paraId="5F3A4500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0AE2AA05" w14:textId="77777777" w:rsidR="00743339" w:rsidRPr="009B08B2" w:rsidRDefault="009B08B2">
            <w:pPr>
              <w:rPr>
                <w:rFonts w:ascii="Gill Sans MT" w:hAnsi="Gill Sans MT"/>
              </w:rPr>
            </w:pPr>
            <w:r w:rsidRPr="009B08B2">
              <w:rPr>
                <w:rFonts w:ascii="Gill Sans MT" w:hAnsi="Gill Sans MT"/>
                <w:highlight w:val="magenta"/>
              </w:rPr>
              <w:t>Thinking</w:t>
            </w:r>
          </w:p>
          <w:p w14:paraId="29C5360E" w14:textId="77777777" w:rsidR="009B08B2" w:rsidRPr="009B08B2" w:rsidRDefault="009B08B2">
            <w:pPr>
              <w:rPr>
                <w:rFonts w:ascii="Gill Sans MT" w:hAnsi="Gill Sans MT"/>
                <w:highlight w:val="magenta"/>
              </w:rPr>
            </w:pPr>
            <w:r w:rsidRPr="009B08B2">
              <w:rPr>
                <w:rFonts w:ascii="Gill Sans MT" w:hAnsi="Gill Sans MT"/>
                <w:highlight w:val="magenta"/>
              </w:rPr>
              <w:t>Self- Management</w:t>
            </w:r>
          </w:p>
          <w:p w14:paraId="5365869E" w14:textId="670B4B9C" w:rsidR="009B08B2" w:rsidRPr="009B08B2" w:rsidRDefault="009B08B2">
            <w:pPr>
              <w:rPr>
                <w:rFonts w:ascii="Gill Sans MT" w:hAnsi="Gill Sans MT"/>
              </w:rPr>
            </w:pPr>
            <w:r w:rsidRPr="009B08B2">
              <w:rPr>
                <w:rFonts w:ascii="Gill Sans MT" w:hAnsi="Gill Sans MT"/>
                <w:highlight w:val="magenta"/>
              </w:rPr>
              <w:t>Research</w:t>
            </w:r>
          </w:p>
          <w:p w14:paraId="59760271" w14:textId="0C737576" w:rsidR="009B08B2" w:rsidRDefault="0043673E">
            <w:pPr>
              <w:rPr>
                <w:rFonts w:ascii="Gill Sans MT" w:hAnsi="Gill Sans MT"/>
                <w:color w:val="A6A6A6" w:themeColor="background1" w:themeShade="A6"/>
              </w:rPr>
            </w:pPr>
            <w:r>
              <w:rPr>
                <w:rFonts w:ascii="Gill Sans MT" w:hAnsi="Gill Sans MT"/>
                <w:color w:val="A6A6A6" w:themeColor="background1" w:themeShade="A6"/>
              </w:rPr>
              <w:t>,</w:t>
            </w:r>
          </w:p>
        </w:tc>
      </w:tr>
      <w:tr w:rsidR="00743339" w14:paraId="4707A0D8" w14:textId="77777777" w:rsidTr="00743339">
        <w:tc>
          <w:tcPr>
            <w:tcW w:w="7088" w:type="dxa"/>
          </w:tcPr>
          <w:p w14:paraId="3BD7F63E" w14:textId="78EA3FB9" w:rsidR="00743339" w:rsidRDefault="00743339" w:rsidP="0074333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Resources used</w:t>
            </w:r>
          </w:p>
          <w:p w14:paraId="670E79AB" w14:textId="77777777" w:rsidR="00743339" w:rsidRPr="006800B2" w:rsidRDefault="00743339" w:rsidP="0074333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 xml:space="preserve">Special materials/equipment </w:t>
            </w:r>
          </w:p>
          <w:p w14:paraId="315E8A76" w14:textId="77777777" w:rsidR="00743339" w:rsidRPr="006800B2" w:rsidRDefault="00743339" w:rsidP="0074333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>Texts, books, websites</w:t>
            </w:r>
          </w:p>
          <w:p w14:paraId="12F29594" w14:textId="77777777" w:rsidR="00743339" w:rsidRPr="006800B2" w:rsidRDefault="00743339" w:rsidP="0074333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 xml:space="preserve">Museums </w:t>
            </w:r>
          </w:p>
          <w:p w14:paraId="7F6117E4" w14:textId="77777777" w:rsidR="00743339" w:rsidRDefault="00743339" w:rsidP="00743339">
            <w:p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>Artists</w:t>
            </w:r>
            <w:r>
              <w:rPr>
                <w:rFonts w:ascii="Gill Sans MT" w:hAnsi="Gill Sans MT"/>
              </w:rPr>
              <w:t xml:space="preserve"> as references</w:t>
            </w:r>
          </w:p>
          <w:p w14:paraId="4ADE90D2" w14:textId="77777777" w:rsidR="00743339" w:rsidRDefault="00743339" w:rsidP="00743339">
            <w:pPr>
              <w:rPr>
                <w:rFonts w:ascii="Gill Sans MT" w:hAnsi="Gill Sans MT"/>
              </w:rPr>
            </w:pPr>
          </w:p>
          <w:p w14:paraId="5766A007" w14:textId="77777777" w:rsidR="00743339" w:rsidRDefault="00743339" w:rsidP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4F76E8C2" w14:textId="36C98DC7" w:rsidR="003E2987" w:rsidRDefault="003A1D5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Material </w:t>
            </w:r>
            <w:r w:rsidR="003E2987" w:rsidRPr="003E2987">
              <w:rPr>
                <w:rFonts w:ascii="Gill Sans MT" w:hAnsi="Gill Sans MT"/>
                <w:i/>
              </w:rPr>
              <w:t xml:space="preserve">Resources vary according to school and location </w:t>
            </w:r>
          </w:p>
          <w:p w14:paraId="773035CE" w14:textId="77777777" w:rsidR="003E2987" w:rsidRPr="003E2987" w:rsidRDefault="003E2987">
            <w:pPr>
              <w:rPr>
                <w:rFonts w:ascii="Gill Sans MT" w:hAnsi="Gill Sans MT"/>
                <w:i/>
              </w:rPr>
            </w:pPr>
          </w:p>
          <w:p w14:paraId="3130350E" w14:textId="24092263" w:rsidR="00743339" w:rsidRPr="003E2987" w:rsidRDefault="003E2987">
            <w:pPr>
              <w:rPr>
                <w:rFonts w:ascii="Gill Sans MT" w:hAnsi="Gill Sans MT"/>
              </w:rPr>
            </w:pPr>
            <w:proofErr w:type="spellStart"/>
            <w:r w:rsidRPr="003E2987">
              <w:rPr>
                <w:rFonts w:ascii="Gill Sans MT" w:hAnsi="Gill Sans MT"/>
              </w:rPr>
              <w:t>Thinkib</w:t>
            </w:r>
            <w:proofErr w:type="spellEnd"/>
            <w:r w:rsidRPr="003E2987">
              <w:rPr>
                <w:rFonts w:ascii="Gill Sans MT" w:hAnsi="Gill Sans MT"/>
              </w:rPr>
              <w:t xml:space="preserve"> website </w:t>
            </w:r>
            <w:r>
              <w:rPr>
                <w:rFonts w:ascii="Gill Sans MT" w:hAnsi="Gill Sans MT"/>
              </w:rPr>
              <w:t xml:space="preserve">resource </w:t>
            </w:r>
            <w:hyperlink r:id="rId8" w:history="1">
              <w:r w:rsidRPr="003E2987">
                <w:rPr>
                  <w:rStyle w:val="Hyperlink"/>
                  <w:rFonts w:ascii="Gill Sans MT" w:hAnsi="Gill Sans MT"/>
                </w:rPr>
                <w:t>A Sense of Place</w:t>
              </w:r>
            </w:hyperlink>
          </w:p>
          <w:p w14:paraId="6D50E521" w14:textId="77777777" w:rsidR="003E2987" w:rsidRDefault="003E2987">
            <w:pPr>
              <w:rPr>
                <w:rFonts w:ascii="Gill Sans MT" w:hAnsi="Gill Sans MT"/>
              </w:rPr>
            </w:pPr>
            <w:r w:rsidRPr="003E2987">
              <w:rPr>
                <w:rFonts w:ascii="Gill Sans MT" w:hAnsi="Gill Sans MT"/>
              </w:rPr>
              <w:t>Textbook:</w:t>
            </w:r>
            <w:r>
              <w:rPr>
                <w:rFonts w:ascii="Gill Sans MT" w:hAnsi="Gill Sans MT"/>
                <w:i/>
              </w:rPr>
              <w:t xml:space="preserve"> </w:t>
            </w:r>
            <w:r w:rsidRPr="003E2987">
              <w:rPr>
                <w:rFonts w:ascii="Gill Sans MT" w:hAnsi="Gill Sans MT"/>
                <w:i/>
              </w:rPr>
              <w:t>Visual Arts for the IB Diploma,</w:t>
            </w:r>
            <w:r w:rsidRPr="003E2987">
              <w:rPr>
                <w:rFonts w:ascii="Gill Sans MT" w:hAnsi="Gill Sans MT"/>
              </w:rPr>
              <w:t xml:space="preserve"> Cambridge University Press</w:t>
            </w:r>
            <w:r>
              <w:rPr>
                <w:rFonts w:ascii="Gill Sans MT" w:hAnsi="Gill Sans MT"/>
              </w:rPr>
              <w:t>,</w:t>
            </w:r>
            <w:r w:rsidRPr="003E2987">
              <w:rPr>
                <w:rFonts w:ascii="Gill Sans MT" w:hAnsi="Gill Sans MT"/>
              </w:rPr>
              <w:t xml:space="preserve"> chapter 1 Exploration</w:t>
            </w:r>
          </w:p>
          <w:p w14:paraId="17162149" w14:textId="01E08EB9" w:rsidR="003A1D5E" w:rsidRDefault="003A1D5E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  <w:tr w:rsidR="00743339" w14:paraId="422A4C6B" w14:textId="77777777" w:rsidTr="00743339">
        <w:tc>
          <w:tcPr>
            <w:tcW w:w="7088" w:type="dxa"/>
          </w:tcPr>
          <w:p w14:paraId="0AB26892" w14:textId="0A80EE05" w:rsidR="00743339" w:rsidRDefault="00743339" w:rsidP="00743339">
            <w:pPr>
              <w:rPr>
                <w:rFonts w:ascii="Gill Sans MT" w:hAnsi="Gill Sans MT"/>
                <w:b/>
              </w:rPr>
            </w:pPr>
            <w:proofErr w:type="spellStart"/>
            <w:r w:rsidRPr="00513B96">
              <w:rPr>
                <w:rFonts w:ascii="Gill Sans MT" w:hAnsi="Gill Sans MT"/>
                <w:b/>
              </w:rPr>
              <w:t>ToK</w:t>
            </w:r>
            <w:proofErr w:type="spellEnd"/>
            <w:r w:rsidRPr="00513B96">
              <w:rPr>
                <w:rFonts w:ascii="Gill Sans MT" w:hAnsi="Gill Sans MT"/>
                <w:b/>
              </w:rPr>
              <w:t xml:space="preserve"> connections</w:t>
            </w:r>
          </w:p>
          <w:p w14:paraId="7962644E" w14:textId="77777777" w:rsidR="00743339" w:rsidRPr="006800B2" w:rsidRDefault="00743339" w:rsidP="00743339">
            <w:p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 xml:space="preserve">Links made to </w:t>
            </w:r>
            <w:proofErr w:type="spellStart"/>
            <w:r w:rsidRPr="006800B2">
              <w:rPr>
                <w:rFonts w:ascii="Gill Sans MT" w:hAnsi="Gill Sans MT"/>
              </w:rPr>
              <w:t>ToK</w:t>
            </w:r>
            <w:proofErr w:type="spellEnd"/>
            <w:r w:rsidRPr="006800B2">
              <w:rPr>
                <w:rFonts w:ascii="Gill Sans MT" w:hAnsi="Gill Sans MT"/>
              </w:rPr>
              <w:t xml:space="preserve"> such as</w:t>
            </w:r>
          </w:p>
          <w:p w14:paraId="4EAEF82D" w14:textId="77777777" w:rsidR="00743339" w:rsidRPr="006800B2" w:rsidRDefault="00743339" w:rsidP="00743339">
            <w:p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>Art and Knowledge</w:t>
            </w:r>
          </w:p>
          <w:p w14:paraId="2973A94C" w14:textId="77777777" w:rsidR="00743339" w:rsidRPr="006800B2" w:rsidRDefault="00743339" w:rsidP="00743339">
            <w:p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>Art and Meaning</w:t>
            </w:r>
          </w:p>
          <w:p w14:paraId="55327F02" w14:textId="77777777" w:rsidR="00743339" w:rsidRPr="006800B2" w:rsidRDefault="00743339" w:rsidP="00743339">
            <w:pPr>
              <w:rPr>
                <w:rFonts w:ascii="Gill Sans MT" w:hAnsi="Gill Sans MT"/>
              </w:rPr>
            </w:pPr>
            <w:r w:rsidRPr="006800B2">
              <w:rPr>
                <w:rFonts w:ascii="Gill Sans MT" w:hAnsi="Gill Sans MT"/>
              </w:rPr>
              <w:t>Art and Originality</w:t>
            </w:r>
          </w:p>
          <w:p w14:paraId="0D3F44A0" w14:textId="77777777" w:rsidR="00743339" w:rsidRPr="006800B2" w:rsidRDefault="00743339" w:rsidP="00743339">
            <w:pPr>
              <w:rPr>
                <w:rFonts w:ascii="Gill Sans MT" w:hAnsi="Gill Sans MT"/>
              </w:rPr>
            </w:pPr>
            <w:r w:rsidRPr="003A1D5E">
              <w:rPr>
                <w:rFonts w:ascii="Gill Sans MT" w:hAnsi="Gill Sans MT"/>
                <w:highlight w:val="magenta"/>
              </w:rPr>
              <w:t>Art and Values</w:t>
            </w:r>
          </w:p>
          <w:p w14:paraId="4F3859E2" w14:textId="77777777" w:rsidR="00743339" w:rsidRDefault="00743339" w:rsidP="00743339">
            <w:pPr>
              <w:rPr>
                <w:rFonts w:ascii="Gill Sans MT" w:hAnsi="Gill Sans MT"/>
                <w:i/>
              </w:rPr>
            </w:pPr>
          </w:p>
          <w:p w14:paraId="3FDD0FF0" w14:textId="77777777" w:rsidR="00743339" w:rsidRPr="00513B96" w:rsidRDefault="00743339" w:rsidP="00743339">
            <w:pPr>
              <w:rPr>
                <w:rFonts w:ascii="Gill Sans MT" w:hAnsi="Gill Sans MT"/>
                <w:i/>
              </w:rPr>
            </w:pPr>
          </w:p>
          <w:p w14:paraId="1EB9460D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4F517815" w14:textId="77777777" w:rsidR="00743339" w:rsidRDefault="003A1D5E">
            <w:pPr>
              <w:rPr>
                <w:rFonts w:ascii="Gill Sans MT" w:hAnsi="Gill Sans MT"/>
                <w:color w:val="A6A6A6" w:themeColor="background1" w:themeShade="A6"/>
              </w:rPr>
            </w:pPr>
            <w:hyperlink r:id="rId9" w:history="1">
              <w:r w:rsidRPr="003A1D5E">
                <w:rPr>
                  <w:rStyle w:val="Hyperlink"/>
                  <w:rFonts w:ascii="Gill Sans MT" w:hAnsi="Gill Sans MT"/>
                </w:rPr>
                <w:t>Culture and geographic focus</w:t>
              </w:r>
            </w:hyperlink>
          </w:p>
          <w:p w14:paraId="76A6E095" w14:textId="77777777" w:rsidR="003A1D5E" w:rsidRDefault="003A1D5E">
            <w:pPr>
              <w:rPr>
                <w:rFonts w:ascii="Gill Sans MT" w:hAnsi="Gill Sans MT"/>
              </w:rPr>
            </w:pPr>
            <w:r w:rsidRPr="003A1D5E">
              <w:rPr>
                <w:rFonts w:ascii="Gill Sans MT" w:hAnsi="Gill Sans MT"/>
              </w:rPr>
              <w:t>Exploring the cultural significance o</w:t>
            </w:r>
            <w:r>
              <w:rPr>
                <w:rFonts w:ascii="Gill Sans MT" w:hAnsi="Gill Sans MT"/>
              </w:rPr>
              <w:t>f place and the cultural influences of your surroundings</w:t>
            </w:r>
          </w:p>
          <w:p w14:paraId="454AAD9C" w14:textId="77777777" w:rsidR="009E5581" w:rsidRDefault="009E55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does cultural understanding influence our interpretation of an artwork?</w:t>
            </w:r>
          </w:p>
          <w:p w14:paraId="44C12EB9" w14:textId="1C5DAAD1" w:rsidR="009E5581" w:rsidRPr="003A1D5E" w:rsidRDefault="009E5581">
            <w:pPr>
              <w:rPr>
                <w:rFonts w:ascii="Gill Sans MT" w:hAnsi="Gill Sans MT"/>
              </w:rPr>
            </w:pPr>
            <w:hyperlink r:id="rId10" w:history="1">
              <w:r w:rsidRPr="009E5581">
                <w:rPr>
                  <w:rStyle w:val="Hyperlink"/>
                  <w:rFonts w:ascii="Gill Sans MT" w:hAnsi="Gill Sans MT"/>
                </w:rPr>
                <w:t>Does art have a Social Function?</w:t>
              </w:r>
            </w:hyperlink>
          </w:p>
        </w:tc>
      </w:tr>
      <w:tr w:rsidR="00743339" w14:paraId="7473913C" w14:textId="77777777" w:rsidTr="00743339">
        <w:tc>
          <w:tcPr>
            <w:tcW w:w="7088" w:type="dxa"/>
          </w:tcPr>
          <w:p w14:paraId="6BC27D36" w14:textId="77777777" w:rsidR="00743339" w:rsidRPr="002C0EE1" w:rsidRDefault="00743339" w:rsidP="0074333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How will the unit be assessed?</w:t>
            </w:r>
          </w:p>
          <w:p w14:paraId="1F4A6061" w14:textId="77777777" w:rsidR="00743339" w:rsidRDefault="00743339" w:rsidP="00743339">
            <w:pPr>
              <w:rPr>
                <w:rFonts w:ascii="Gill Sans MT" w:hAnsi="Gill Sans MT"/>
              </w:rPr>
            </w:pPr>
            <w:r w:rsidRPr="002C0EE1">
              <w:rPr>
                <w:rFonts w:ascii="Gill Sans MT" w:hAnsi="Gill Sans MT"/>
              </w:rPr>
              <w:t>Formative</w:t>
            </w:r>
          </w:p>
          <w:p w14:paraId="0360221D" w14:textId="77777777" w:rsidR="00743339" w:rsidRPr="00513B96" w:rsidRDefault="00743339" w:rsidP="00743339">
            <w:pPr>
              <w:rPr>
                <w:rFonts w:ascii="Gill Sans MT" w:hAnsi="Gill Sans MT"/>
                <w:i/>
              </w:rPr>
            </w:pPr>
            <w:r w:rsidRPr="00513B96">
              <w:rPr>
                <w:rFonts w:ascii="Gill Sans MT" w:hAnsi="Gill Sans MT"/>
                <w:i/>
              </w:rPr>
              <w:t>Assessing work in progress</w:t>
            </w:r>
          </w:p>
          <w:p w14:paraId="1A0960D8" w14:textId="77777777" w:rsidR="00743339" w:rsidRPr="002C0EE1" w:rsidRDefault="00743339" w:rsidP="00743339">
            <w:pPr>
              <w:rPr>
                <w:rFonts w:ascii="Gill Sans MT" w:hAnsi="Gill Sans MT"/>
              </w:rPr>
            </w:pPr>
            <w:r w:rsidRPr="002C0EE1">
              <w:rPr>
                <w:rFonts w:ascii="Gill Sans MT" w:hAnsi="Gill Sans MT"/>
              </w:rPr>
              <w:t xml:space="preserve"> </w:t>
            </w:r>
          </w:p>
          <w:p w14:paraId="74D4FBAF" w14:textId="77777777" w:rsidR="00743339" w:rsidRDefault="00743339" w:rsidP="00743339">
            <w:pPr>
              <w:rPr>
                <w:rFonts w:ascii="Gill Sans MT" w:hAnsi="Gill Sans MT"/>
              </w:rPr>
            </w:pPr>
            <w:r w:rsidRPr="002C0EE1">
              <w:rPr>
                <w:rFonts w:ascii="Gill Sans MT" w:hAnsi="Gill Sans MT"/>
              </w:rPr>
              <w:t>Summative</w:t>
            </w:r>
          </w:p>
          <w:p w14:paraId="29C851C6" w14:textId="77777777" w:rsidR="00743339" w:rsidRPr="00513B96" w:rsidRDefault="00743339" w:rsidP="00743339">
            <w:pPr>
              <w:rPr>
                <w:rFonts w:ascii="Gill Sans MT" w:hAnsi="Gill Sans MT"/>
                <w:i/>
              </w:rPr>
            </w:pPr>
            <w:r w:rsidRPr="00513B96">
              <w:rPr>
                <w:rFonts w:ascii="Gill Sans MT" w:hAnsi="Gill Sans MT"/>
                <w:i/>
              </w:rPr>
              <w:t xml:space="preserve">Assessing final outcomes relevant to the 3 curriculum components, </w:t>
            </w:r>
            <w:proofErr w:type="spellStart"/>
            <w:r w:rsidRPr="00513B96">
              <w:rPr>
                <w:rFonts w:ascii="Gill Sans MT" w:hAnsi="Gill Sans MT"/>
                <w:i/>
              </w:rPr>
              <w:t>i.e</w:t>
            </w:r>
            <w:proofErr w:type="spellEnd"/>
            <w:r w:rsidRPr="00513B96">
              <w:rPr>
                <w:rFonts w:ascii="Gill Sans MT" w:hAnsi="Gill Sans MT"/>
                <w:i/>
              </w:rPr>
              <w:t xml:space="preserve"> PP CS, Exhibition</w:t>
            </w:r>
          </w:p>
          <w:p w14:paraId="04F5F3AC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5BE50F86" w14:textId="1A423337" w:rsidR="009E56E7" w:rsidRPr="009E56E7" w:rsidRDefault="003A1D5E">
            <w:pPr>
              <w:rPr>
                <w:rFonts w:ascii="Gill Sans MT" w:hAnsi="Gill Sans MT"/>
                <w:i/>
              </w:rPr>
            </w:pPr>
            <w:r w:rsidRPr="009E56E7">
              <w:rPr>
                <w:rFonts w:ascii="Gill Sans MT" w:hAnsi="Gill Sans MT"/>
                <w:i/>
              </w:rPr>
              <w:t>Formative</w:t>
            </w:r>
            <w:r w:rsidR="009E56E7" w:rsidRPr="009E56E7">
              <w:rPr>
                <w:rFonts w:ascii="Gill Sans MT" w:hAnsi="Gill Sans MT"/>
                <w:i/>
              </w:rPr>
              <w:t xml:space="preserve"> assessment only </w:t>
            </w:r>
            <w:r w:rsidR="009E56E7">
              <w:rPr>
                <w:rFonts w:ascii="Gill Sans MT" w:hAnsi="Gill Sans MT"/>
                <w:i/>
              </w:rPr>
              <w:t>-</w:t>
            </w:r>
            <w:r w:rsidR="009E56E7">
              <w:rPr>
                <w:rFonts w:ascii="Gill Sans MT" w:hAnsi="Gill Sans MT"/>
              </w:rPr>
              <w:t xml:space="preserve"> J</w:t>
            </w:r>
            <w:r w:rsidR="00CB34E2">
              <w:rPr>
                <w:rFonts w:ascii="Gill Sans MT" w:hAnsi="Gill Sans MT"/>
              </w:rPr>
              <w:t>ournal and studio work</w:t>
            </w:r>
          </w:p>
          <w:p w14:paraId="001F0A05" w14:textId="77777777" w:rsidR="009E56E7" w:rsidRDefault="009E56E7" w:rsidP="009E56E7">
            <w:pPr>
              <w:rPr>
                <w:rFonts w:ascii="Gill Sans MT" w:hAnsi="Gill Sans MT"/>
              </w:rPr>
            </w:pPr>
            <w:r w:rsidRPr="009E56E7">
              <w:rPr>
                <w:rFonts w:ascii="Gill Sans MT" w:hAnsi="Gill Sans MT"/>
              </w:rPr>
              <w:t>Preparation for PP</w:t>
            </w:r>
          </w:p>
          <w:p w14:paraId="6FD65D9E" w14:textId="41D00B2D" w:rsidR="009E56E7" w:rsidRPr="009E56E7" w:rsidRDefault="009E56E7" w:rsidP="009E56E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proofErr w:type="gramStart"/>
            <w:r w:rsidRPr="009E56E7">
              <w:rPr>
                <w:rFonts w:ascii="Gill Sans MT" w:hAnsi="Gill Sans MT"/>
              </w:rPr>
              <w:t>address</w:t>
            </w:r>
            <w:proofErr w:type="gramEnd"/>
            <w:r w:rsidRPr="009E56E7">
              <w:rPr>
                <w:rFonts w:ascii="Gill Sans MT" w:hAnsi="Gill Sans MT"/>
              </w:rPr>
              <w:t xml:space="preserve"> art making forms </w:t>
            </w:r>
          </w:p>
          <w:p w14:paraId="24E86C8B" w14:textId="77777777" w:rsidR="009E56E7" w:rsidRDefault="009E56E7" w:rsidP="009E56E7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hyperlink r:id="rId11" w:history="1">
              <w:r w:rsidRPr="009E56E7">
                <w:rPr>
                  <w:rStyle w:val="Hyperlink"/>
                  <w:rFonts w:ascii="Gill Sans MT" w:hAnsi="Gill Sans MT"/>
                </w:rPr>
                <w:t xml:space="preserve">Ideas and </w:t>
              </w:r>
              <w:proofErr w:type="spellStart"/>
              <w:r w:rsidRPr="009E56E7">
                <w:rPr>
                  <w:rStyle w:val="Hyperlink"/>
                  <w:rFonts w:ascii="Gill Sans MT" w:hAnsi="Gill Sans MT"/>
                </w:rPr>
                <w:t>intentions</w:t>
              </w:r>
            </w:hyperlink>
            <w:proofErr w:type="spellEnd"/>
          </w:p>
          <w:p w14:paraId="0BB750AB" w14:textId="129E7475" w:rsidR="00CB34E2" w:rsidRPr="009E56E7" w:rsidRDefault="00CB34E2" w:rsidP="009E56E7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document</w:t>
            </w:r>
            <w:proofErr w:type="gramEnd"/>
            <w:r>
              <w:rPr>
                <w:rFonts w:ascii="Gill Sans MT" w:hAnsi="Gill Sans MT"/>
              </w:rPr>
              <w:t xml:space="preserve"> process</w:t>
            </w:r>
          </w:p>
          <w:p w14:paraId="25F60706" w14:textId="61F2F71A" w:rsidR="009E56E7" w:rsidRPr="009E56E7" w:rsidRDefault="003A1D5E" w:rsidP="009E56E7">
            <w:pPr>
              <w:rPr>
                <w:rFonts w:ascii="Gill Sans MT" w:hAnsi="Gill Sans MT"/>
              </w:rPr>
            </w:pPr>
            <w:r w:rsidRPr="009E56E7">
              <w:rPr>
                <w:rFonts w:ascii="Gill Sans MT" w:hAnsi="Gill Sans MT"/>
              </w:rPr>
              <w:t>Preparation</w:t>
            </w:r>
            <w:r w:rsidR="009E56E7" w:rsidRPr="009E56E7">
              <w:rPr>
                <w:rFonts w:ascii="Gill Sans MT" w:hAnsi="Gill Sans MT"/>
              </w:rPr>
              <w:t xml:space="preserve"> for comparative study</w:t>
            </w:r>
          </w:p>
          <w:p w14:paraId="5CF31D40" w14:textId="236CF5CB" w:rsidR="003A1D5E" w:rsidRPr="009E56E7" w:rsidRDefault="003A1D5E" w:rsidP="009E56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9E56E7">
              <w:rPr>
                <w:rFonts w:ascii="Gill Sans MT" w:hAnsi="Gill Sans MT"/>
              </w:rPr>
              <w:t>Cultural context</w:t>
            </w:r>
            <w:r w:rsidR="006E4479" w:rsidRPr="009E56E7">
              <w:rPr>
                <w:rFonts w:ascii="Gill Sans MT" w:hAnsi="Gill Sans MT"/>
              </w:rPr>
              <w:t>,</w:t>
            </w:r>
          </w:p>
          <w:p w14:paraId="1EB1D9CB" w14:textId="77777777" w:rsidR="009E5581" w:rsidRPr="009E56E7" w:rsidRDefault="009E5581" w:rsidP="009E56E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hyperlink r:id="rId12" w:history="1">
              <w:r w:rsidRPr="009E56E7">
                <w:rPr>
                  <w:rStyle w:val="Hyperlink"/>
                  <w:rFonts w:ascii="Gill Sans MT" w:hAnsi="Gill Sans MT"/>
                </w:rPr>
                <w:t>Function and Purpose</w:t>
              </w:r>
            </w:hyperlink>
          </w:p>
          <w:p w14:paraId="1AA5FA8C" w14:textId="77777777" w:rsidR="009E56E7" w:rsidRDefault="009E56E7" w:rsidP="009E56E7">
            <w:pPr>
              <w:rPr>
                <w:rStyle w:val="PageNumber"/>
              </w:rPr>
            </w:pPr>
            <w:r>
              <w:rPr>
                <w:rStyle w:val="PageNumber"/>
              </w:rPr>
              <w:t>Preparation for EX</w:t>
            </w:r>
          </w:p>
          <w:p w14:paraId="2BC28616" w14:textId="37B7A0F0" w:rsidR="009E56E7" w:rsidRPr="009E56E7" w:rsidRDefault="009E56E7" w:rsidP="009E56E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 w:rsidRPr="009E56E7">
              <w:rPr>
                <w:rFonts w:ascii="Gill Sans MT" w:hAnsi="Gill Sans MT"/>
              </w:rPr>
              <w:t>Completed studio piece</w:t>
            </w:r>
          </w:p>
          <w:p w14:paraId="3958C4FA" w14:textId="418A9D99" w:rsidR="009E56E7" w:rsidRPr="009E56E7" w:rsidRDefault="009E56E7" w:rsidP="009E56E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Pr="009E56E7">
              <w:rPr>
                <w:rFonts w:ascii="Gill Sans MT" w:hAnsi="Gill Sans MT"/>
              </w:rPr>
              <w:t>ake connections (reflection)</w:t>
            </w:r>
          </w:p>
          <w:p w14:paraId="6A91BFAF" w14:textId="4F1726D7" w:rsidR="006E4479" w:rsidRDefault="006E447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  <w:tr w:rsidR="00743339" w14:paraId="77694FC3" w14:textId="77777777" w:rsidTr="00743339">
        <w:tc>
          <w:tcPr>
            <w:tcW w:w="7088" w:type="dxa"/>
          </w:tcPr>
          <w:p w14:paraId="1097A3E2" w14:textId="6C897ACA" w:rsidR="00743339" w:rsidRDefault="00743339" w:rsidP="00743339">
            <w:pPr>
              <w:rPr>
                <w:rFonts w:ascii="Gill Sans MT" w:hAnsi="Gill Sans MT"/>
                <w:b/>
              </w:rPr>
            </w:pPr>
            <w:r w:rsidRPr="008D5198">
              <w:rPr>
                <w:rFonts w:ascii="Gill Sans MT" w:hAnsi="Gill Sans MT"/>
                <w:b/>
              </w:rPr>
              <w:t>Reflections</w:t>
            </w:r>
          </w:p>
          <w:p w14:paraId="2476DCF6" w14:textId="77777777" w:rsidR="00743339" w:rsidRDefault="00743339" w:rsidP="00743339">
            <w:pPr>
              <w:jc w:val="both"/>
              <w:rPr>
                <w:rFonts w:ascii="Gill Sans MT" w:hAnsi="Gill Sans MT"/>
                <w:i/>
                <w:lang w:val="en-GB"/>
              </w:rPr>
            </w:pPr>
            <w:proofErr w:type="gramStart"/>
            <w:r w:rsidRPr="00513B96">
              <w:rPr>
                <w:rFonts w:ascii="Gill Sans MT" w:hAnsi="Gill Sans MT"/>
                <w:i/>
                <w:lang w:val="en-GB"/>
              </w:rPr>
              <w:t>considering</w:t>
            </w:r>
            <w:proofErr w:type="gramEnd"/>
            <w:r w:rsidRPr="00513B96">
              <w:rPr>
                <w:rFonts w:ascii="Gill Sans MT" w:hAnsi="Gill Sans MT"/>
                <w:i/>
                <w:lang w:val="en-GB"/>
              </w:rPr>
              <w:t xml:space="preserve"> the planning, process and impact of the inquiry</w:t>
            </w:r>
          </w:p>
          <w:p w14:paraId="7F078442" w14:textId="77777777" w:rsidR="00743339" w:rsidRPr="002C0EE1" w:rsidRDefault="00743339" w:rsidP="00743339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  <w:i/>
                <w:lang w:val="en-GB"/>
              </w:rPr>
              <w:t>what</w:t>
            </w:r>
            <w:proofErr w:type="gramEnd"/>
            <w:r>
              <w:rPr>
                <w:rFonts w:ascii="Gill Sans MT" w:hAnsi="Gill Sans MT"/>
                <w:i/>
                <w:lang w:val="en-GB"/>
              </w:rPr>
              <w:t xml:space="preserve"> worked well, notes for future</w:t>
            </w:r>
          </w:p>
          <w:p w14:paraId="5E69CF56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  <w:tc>
          <w:tcPr>
            <w:tcW w:w="7088" w:type="dxa"/>
          </w:tcPr>
          <w:p w14:paraId="1C43FDB8" w14:textId="77777777" w:rsidR="00743339" w:rsidRDefault="00743339">
            <w:pPr>
              <w:rPr>
                <w:rFonts w:ascii="Gill Sans MT" w:hAnsi="Gill Sans MT"/>
                <w:color w:val="A6A6A6" w:themeColor="background1" w:themeShade="A6"/>
              </w:rPr>
            </w:pPr>
          </w:p>
        </w:tc>
      </w:tr>
    </w:tbl>
    <w:p w14:paraId="1E25D677" w14:textId="77777777" w:rsidR="00755FC5" w:rsidRDefault="00755FC5">
      <w:pPr>
        <w:rPr>
          <w:rFonts w:ascii="Gill Sans MT" w:hAnsi="Gill Sans MT"/>
          <w:color w:val="A6A6A6" w:themeColor="background1" w:themeShade="A6"/>
        </w:rPr>
      </w:pPr>
    </w:p>
    <w:p w14:paraId="2CA158FD" w14:textId="77777777" w:rsidR="00755FC5" w:rsidRDefault="00755FC5">
      <w:pPr>
        <w:rPr>
          <w:rFonts w:ascii="Gill Sans MT" w:hAnsi="Gill Sans MT"/>
          <w:color w:val="A6A6A6" w:themeColor="background1" w:themeShade="A6"/>
        </w:rPr>
      </w:pPr>
    </w:p>
    <w:p w14:paraId="44DFBFDF" w14:textId="77777777" w:rsidR="00755FC5" w:rsidRDefault="00755FC5">
      <w:pPr>
        <w:rPr>
          <w:rFonts w:ascii="Gill Sans MT" w:hAnsi="Gill Sans MT"/>
          <w:color w:val="A6A6A6" w:themeColor="background1" w:themeShade="A6"/>
        </w:rPr>
      </w:pPr>
    </w:p>
    <w:sectPr w:rsidR="00755FC5" w:rsidSect="007433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625C2" w14:textId="77777777" w:rsidR="009E56E7" w:rsidRDefault="009E56E7" w:rsidP="00976D0E">
      <w:r>
        <w:separator/>
      </w:r>
    </w:p>
  </w:endnote>
  <w:endnote w:type="continuationSeparator" w:id="0">
    <w:p w14:paraId="2825CEB6" w14:textId="77777777" w:rsidR="009E56E7" w:rsidRDefault="009E56E7" w:rsidP="0097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FC35E6" w14:textId="77777777" w:rsidR="009E56E7" w:rsidRDefault="009E56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4209F4" w14:textId="77777777" w:rsidR="009E56E7" w:rsidRDefault="009E56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0CE55F" w14:textId="77777777" w:rsidR="009E56E7" w:rsidRDefault="009E5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9F4F" w14:textId="77777777" w:rsidR="009E56E7" w:rsidRDefault="009E56E7" w:rsidP="00976D0E">
      <w:r>
        <w:separator/>
      </w:r>
    </w:p>
  </w:footnote>
  <w:footnote w:type="continuationSeparator" w:id="0">
    <w:p w14:paraId="6DDF2180" w14:textId="77777777" w:rsidR="009E56E7" w:rsidRDefault="009E56E7" w:rsidP="00976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919E51" w14:textId="77777777" w:rsidR="009E56E7" w:rsidRDefault="009E56E7">
    <w:pPr>
      <w:pStyle w:val="Header"/>
    </w:pPr>
    <w:r>
      <w:rPr>
        <w:noProof/>
        <w:lang w:eastAsia="en-US"/>
      </w:rPr>
      <w:pict w14:anchorId="180721B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8" type="#_x0000_t136" style="position:absolute;margin-left:0;margin-top:0;width:292pt;height:41pt;z-index:-251655168;mso-wrap-edited:f;mso-position-horizontal:center;mso-position-horizontal-relative:margin;mso-position-vertical:center;mso-position-vertical-relative:margin" wrapcoords="777 3534 222 3534 0 7854 111 16887 21377 16887 21488 16101 21488 6283 19823 3534 17990 3534 777 3534" fillcolor="silver" stroked="f">
          <v:fill opacity="29491f"/>
          <v:textpath style="font-family:&quot;Arial&quot;" string="thinkIB Visual Ar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47EEDD" w14:textId="77777777" w:rsidR="009E56E7" w:rsidRDefault="009E56E7">
    <w:pPr>
      <w:pStyle w:val="Header"/>
    </w:pPr>
    <w:r>
      <w:rPr>
        <w:noProof/>
        <w:lang w:eastAsia="en-US"/>
      </w:rPr>
      <w:pict w14:anchorId="64A5731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7" type="#_x0000_t136" style="position:absolute;margin-left:0;margin-top:0;width:292pt;height:41pt;z-index:-251657216;mso-wrap-edited:f;mso-position-horizontal:center;mso-position-horizontal-relative:margin;mso-position-vertical:center;mso-position-vertical-relative:margin" wrapcoords="777 3534 222 3534 0 7854 111 16887 21377 16887 21488 16101 21488 6283 19823 3534 17990 3534 777 3534" fillcolor="silver" stroked="f">
          <v:fill opacity="29491f"/>
          <v:textpath style="font-family:&quot;Arial&quot;" string="thinkIB Visual Ar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1CA398" w14:textId="77777777" w:rsidR="009E56E7" w:rsidRDefault="009E56E7">
    <w:pPr>
      <w:pStyle w:val="Header"/>
    </w:pPr>
    <w:r>
      <w:rPr>
        <w:noProof/>
        <w:lang w:eastAsia="en-US"/>
      </w:rPr>
      <w:pict w14:anchorId="3A3E5FF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39" type="#_x0000_t136" style="position:absolute;margin-left:0;margin-top:0;width:292pt;height:41pt;z-index:-251653120;mso-wrap-edited:f;mso-position-horizontal:center;mso-position-horizontal-relative:margin;mso-position-vertical:center;mso-position-vertical-relative:margin" wrapcoords="777 3534 222 3534 0 7854 111 16887 21377 16887 21488 16101 21488 6283 19823 3534 17990 3534 777 3534" fillcolor="silver" stroked="f">
          <v:fill opacity="29491f"/>
          <v:textpath style="font-family:&quot;Arial&quot;" string="thinkIB Visual Ar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B4A"/>
    <w:multiLevelType w:val="hybridMultilevel"/>
    <w:tmpl w:val="3C8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3DE3"/>
    <w:multiLevelType w:val="hybridMultilevel"/>
    <w:tmpl w:val="F51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69EA"/>
    <w:multiLevelType w:val="hybridMultilevel"/>
    <w:tmpl w:val="1E3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5CE1"/>
    <w:multiLevelType w:val="hybridMultilevel"/>
    <w:tmpl w:val="FE16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2553"/>
    <w:multiLevelType w:val="hybridMultilevel"/>
    <w:tmpl w:val="2E4E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C56F1"/>
    <w:multiLevelType w:val="hybridMultilevel"/>
    <w:tmpl w:val="34D0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62C2F"/>
    <w:multiLevelType w:val="hybridMultilevel"/>
    <w:tmpl w:val="8170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6C3"/>
    <w:multiLevelType w:val="hybridMultilevel"/>
    <w:tmpl w:val="8B76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A568E"/>
    <w:multiLevelType w:val="hybridMultilevel"/>
    <w:tmpl w:val="809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39"/>
    <w:rsid w:val="00101879"/>
    <w:rsid w:val="00252726"/>
    <w:rsid w:val="00330323"/>
    <w:rsid w:val="003A1D5E"/>
    <w:rsid w:val="003E2987"/>
    <w:rsid w:val="003F5FF8"/>
    <w:rsid w:val="0043673E"/>
    <w:rsid w:val="006E4479"/>
    <w:rsid w:val="0071033A"/>
    <w:rsid w:val="00743339"/>
    <w:rsid w:val="00755FC5"/>
    <w:rsid w:val="008E4FFF"/>
    <w:rsid w:val="00976D0E"/>
    <w:rsid w:val="009B08B2"/>
    <w:rsid w:val="009E5581"/>
    <w:rsid w:val="009E56E7"/>
    <w:rsid w:val="00BD290E"/>
    <w:rsid w:val="00C81D42"/>
    <w:rsid w:val="00CA6875"/>
    <w:rsid w:val="00CB34E2"/>
    <w:rsid w:val="00F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C57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0E"/>
  </w:style>
  <w:style w:type="paragraph" w:styleId="Footer">
    <w:name w:val="footer"/>
    <w:basedOn w:val="Normal"/>
    <w:link w:val="FooterChar"/>
    <w:uiPriority w:val="99"/>
    <w:unhideWhenUsed/>
    <w:rsid w:val="00976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0E"/>
  </w:style>
  <w:style w:type="character" w:styleId="Hyperlink">
    <w:name w:val="Hyperlink"/>
    <w:basedOn w:val="DefaultParagraphFont"/>
    <w:uiPriority w:val="99"/>
    <w:unhideWhenUsed/>
    <w:rsid w:val="00C81D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56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0E"/>
  </w:style>
  <w:style w:type="paragraph" w:styleId="Footer">
    <w:name w:val="footer"/>
    <w:basedOn w:val="Normal"/>
    <w:link w:val="FooterChar"/>
    <w:uiPriority w:val="99"/>
    <w:unhideWhenUsed/>
    <w:rsid w:val="00976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0E"/>
  </w:style>
  <w:style w:type="character" w:styleId="Hyperlink">
    <w:name w:val="Hyperlink"/>
    <w:basedOn w:val="DefaultParagraphFont"/>
    <w:uiPriority w:val="99"/>
    <w:unhideWhenUsed/>
    <w:rsid w:val="00C81D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ttps://www.thinkib.net/visualarts/page/9051/cultural-and-geographic-focus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https://www.thinkib.net/visualarts/page/19460/function-and-purpose" TargetMode="External"/><Relationship Id="rId11" Type="http://schemas.openxmlformats.org/officeDocument/2006/relationships/hyperlink" Target="mailto:https://www.thinkib.net/visualarts/page/25784/-ideas-and-intentions-in-the-pp" TargetMode="External"/><Relationship Id="rId12" Type="http://schemas.openxmlformats.org/officeDocument/2006/relationships/hyperlink" Target="mailto:https://www.thinkib.net/visualarts/page/19460/function-and-purpos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ttps://www.thinkib.net/visualarts/page/10687/a-sense-of-pl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mcr:Library:Application%20Support:Microsoft:Office:User%20Templates:My%20Templates:Heather%20McReynolds%20for%20InThink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Heather McReynolds for InThinking.dotx</Template>
  <TotalTime>40</TotalTime>
  <Pages>3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hmcr/imk</dc:creator>
  <cp:keywords/>
  <dc:description/>
  <cp:lastModifiedBy>hmcr/imk</cp:lastModifiedBy>
  <cp:revision>11</cp:revision>
  <dcterms:created xsi:type="dcterms:W3CDTF">2018-08-15T19:29:00Z</dcterms:created>
  <dcterms:modified xsi:type="dcterms:W3CDTF">2018-08-15T20:23:00Z</dcterms:modified>
</cp:coreProperties>
</file>